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B0" w:rsidRDefault="009030D6" w:rsidP="002A6FB0">
      <w:pPr>
        <w:tabs>
          <w:tab w:val="left" w:pos="2780"/>
          <w:tab w:val="center" w:pos="7488"/>
        </w:tabs>
        <w:jc w:val="center"/>
        <w:rPr>
          <w:b/>
          <w:bCs/>
          <w:sz w:val="28"/>
        </w:rPr>
      </w:pPr>
      <w:r>
        <w:rPr>
          <w:b/>
          <w:bCs/>
          <w:sz w:val="28"/>
        </w:rPr>
        <w:t xml:space="preserve">Undergraduate </w:t>
      </w:r>
      <w:r w:rsidR="00C57D55">
        <w:rPr>
          <w:b/>
          <w:bCs/>
          <w:sz w:val="28"/>
        </w:rPr>
        <w:t>College of Business</w:t>
      </w:r>
      <w:r w:rsidR="008A7713">
        <w:rPr>
          <w:b/>
          <w:bCs/>
          <w:sz w:val="28"/>
        </w:rPr>
        <w:t xml:space="preserve"> Assessment Sheet</w:t>
      </w:r>
      <w:r w:rsidR="00C57D55">
        <w:rPr>
          <w:b/>
          <w:bCs/>
          <w:sz w:val="28"/>
        </w:rPr>
        <w:t xml:space="preserve"> </w:t>
      </w:r>
    </w:p>
    <w:p w:rsidR="00C57D55" w:rsidRPr="00C57D55" w:rsidRDefault="00295D81" w:rsidP="002A6FB0">
      <w:pPr>
        <w:tabs>
          <w:tab w:val="left" w:pos="2780"/>
          <w:tab w:val="center" w:pos="7488"/>
        </w:tabs>
        <w:jc w:val="center"/>
        <w:rPr>
          <w:bCs/>
          <w:i/>
          <w:sz w:val="28"/>
        </w:rPr>
      </w:pPr>
      <w:r>
        <w:rPr>
          <w:bCs/>
          <w:i/>
          <w:sz w:val="28"/>
        </w:rPr>
        <w:t>(1/2</w:t>
      </w:r>
      <w:bookmarkStart w:id="0" w:name="_GoBack"/>
      <w:bookmarkEnd w:id="0"/>
      <w:r w:rsidR="00C57D55">
        <w:rPr>
          <w:bCs/>
          <w:i/>
          <w:sz w:val="28"/>
        </w:rPr>
        <w:t>6/2016)</w:t>
      </w:r>
    </w:p>
    <w:p w:rsidR="002A6FB0" w:rsidRDefault="002A6FB0" w:rsidP="002A6FB0">
      <w:pPr>
        <w:tabs>
          <w:tab w:val="left" w:pos="2780"/>
          <w:tab w:val="center" w:pos="7488"/>
        </w:tabs>
        <w:spacing w:line="276" w:lineRule="auto"/>
        <w:jc w:val="center"/>
        <w:rPr>
          <w:b/>
          <w:bCs/>
          <w:sz w:val="28"/>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1278"/>
        <w:gridCol w:w="1265"/>
        <w:gridCol w:w="1277"/>
        <w:gridCol w:w="1273"/>
        <w:gridCol w:w="1280"/>
        <w:gridCol w:w="1272"/>
        <w:gridCol w:w="1267"/>
        <w:gridCol w:w="1277"/>
        <w:gridCol w:w="1461"/>
        <w:gridCol w:w="1478"/>
      </w:tblGrid>
      <w:tr w:rsidR="00D34220" w:rsidRPr="00D85456" w:rsidTr="008945FD">
        <w:trPr>
          <w:trHeight w:val="350"/>
        </w:trPr>
        <w:tc>
          <w:tcPr>
            <w:tcW w:w="1272" w:type="dxa"/>
            <w:tcBorders>
              <w:top w:val="nil"/>
              <w:left w:val="nil"/>
              <w:bottom w:val="single" w:sz="4" w:space="0" w:color="auto"/>
              <w:right w:val="nil"/>
            </w:tcBorders>
            <w:shd w:val="clear" w:color="auto" w:fill="auto"/>
          </w:tcPr>
          <w:p w:rsidR="002A6FB0" w:rsidRPr="00D923D6" w:rsidRDefault="00227B87" w:rsidP="00814B3B">
            <w:pPr>
              <w:rPr>
                <w:b/>
                <w:sz w:val="20"/>
                <w:szCs w:val="20"/>
              </w:rPr>
            </w:pPr>
            <w:r>
              <w:rPr>
                <w:b/>
                <w:sz w:val="20"/>
                <w:szCs w:val="20"/>
              </w:rPr>
              <w:t>Name</w:t>
            </w:r>
          </w:p>
        </w:tc>
        <w:tc>
          <w:tcPr>
            <w:tcW w:w="1278"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Description</w:t>
            </w:r>
          </w:p>
        </w:tc>
        <w:tc>
          <w:tcPr>
            <w:tcW w:w="1265"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Data Source</w:t>
            </w:r>
          </w:p>
        </w:tc>
        <w:tc>
          <w:tcPr>
            <w:tcW w:w="1277"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Type of</w:t>
            </w:r>
          </w:p>
          <w:p w:rsidR="002A6FB0" w:rsidRPr="00D923D6" w:rsidRDefault="002A6FB0" w:rsidP="00814B3B">
            <w:pPr>
              <w:rPr>
                <w:b/>
                <w:sz w:val="20"/>
                <w:szCs w:val="20"/>
              </w:rPr>
            </w:pPr>
            <w:r w:rsidRPr="00D923D6">
              <w:rPr>
                <w:b/>
                <w:sz w:val="20"/>
                <w:szCs w:val="20"/>
              </w:rPr>
              <w:t>Instrument</w:t>
            </w:r>
          </w:p>
        </w:tc>
        <w:tc>
          <w:tcPr>
            <w:tcW w:w="1273"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Date/</w:t>
            </w:r>
          </w:p>
          <w:p w:rsidR="002A6FB0" w:rsidRPr="00D923D6" w:rsidRDefault="002A6FB0" w:rsidP="00814B3B">
            <w:pPr>
              <w:rPr>
                <w:b/>
                <w:sz w:val="20"/>
                <w:szCs w:val="20"/>
              </w:rPr>
            </w:pPr>
            <w:r w:rsidRPr="00D923D6">
              <w:rPr>
                <w:b/>
                <w:sz w:val="20"/>
                <w:szCs w:val="20"/>
              </w:rPr>
              <w:t>Frequency</w:t>
            </w:r>
          </w:p>
        </w:tc>
        <w:tc>
          <w:tcPr>
            <w:tcW w:w="1280"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Responsible</w:t>
            </w:r>
          </w:p>
          <w:p w:rsidR="002A6FB0" w:rsidRPr="00D923D6" w:rsidRDefault="002A6FB0" w:rsidP="00814B3B">
            <w:pPr>
              <w:rPr>
                <w:b/>
                <w:sz w:val="20"/>
                <w:szCs w:val="20"/>
              </w:rPr>
            </w:pPr>
            <w:r w:rsidRPr="00D923D6">
              <w:rPr>
                <w:b/>
                <w:sz w:val="20"/>
                <w:szCs w:val="20"/>
              </w:rPr>
              <w:t>Entity</w:t>
            </w:r>
          </w:p>
        </w:tc>
        <w:tc>
          <w:tcPr>
            <w:tcW w:w="1272"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University</w:t>
            </w:r>
          </w:p>
          <w:p w:rsidR="002A6FB0" w:rsidRPr="00D923D6" w:rsidRDefault="002A6FB0" w:rsidP="00814B3B">
            <w:pPr>
              <w:rPr>
                <w:b/>
                <w:sz w:val="20"/>
                <w:szCs w:val="20"/>
              </w:rPr>
            </w:pPr>
            <w:r w:rsidRPr="00D923D6">
              <w:rPr>
                <w:b/>
                <w:sz w:val="20"/>
                <w:szCs w:val="20"/>
              </w:rPr>
              <w:t>Outcomes</w:t>
            </w:r>
          </w:p>
        </w:tc>
        <w:tc>
          <w:tcPr>
            <w:tcW w:w="1267"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Data</w:t>
            </w:r>
          </w:p>
          <w:p w:rsidR="002A6FB0" w:rsidRPr="00D923D6" w:rsidRDefault="002A6FB0" w:rsidP="00814B3B">
            <w:pPr>
              <w:rPr>
                <w:b/>
                <w:sz w:val="20"/>
                <w:szCs w:val="20"/>
              </w:rPr>
            </w:pPr>
            <w:r w:rsidRPr="00D923D6">
              <w:rPr>
                <w:b/>
                <w:sz w:val="20"/>
                <w:szCs w:val="20"/>
              </w:rPr>
              <w:t>Reviewed</w:t>
            </w:r>
          </w:p>
        </w:tc>
        <w:tc>
          <w:tcPr>
            <w:tcW w:w="1277" w:type="dxa"/>
            <w:tcBorders>
              <w:top w:val="nil"/>
              <w:left w:val="nil"/>
              <w:bottom w:val="single" w:sz="4" w:space="0" w:color="auto"/>
              <w:right w:val="nil"/>
            </w:tcBorders>
            <w:shd w:val="clear" w:color="auto" w:fill="auto"/>
          </w:tcPr>
          <w:p w:rsidR="002A6FB0" w:rsidRPr="00D923D6" w:rsidRDefault="00512CC0" w:rsidP="00814B3B">
            <w:pPr>
              <w:rPr>
                <w:b/>
                <w:sz w:val="20"/>
                <w:szCs w:val="20"/>
              </w:rPr>
            </w:pPr>
            <w:r>
              <w:rPr>
                <w:b/>
                <w:sz w:val="20"/>
                <w:szCs w:val="20"/>
              </w:rPr>
              <w:t>Concerns</w:t>
            </w:r>
          </w:p>
          <w:p w:rsidR="002A6FB0" w:rsidRPr="00D923D6" w:rsidRDefault="002A6FB0" w:rsidP="00814B3B">
            <w:pPr>
              <w:rPr>
                <w:b/>
                <w:sz w:val="20"/>
                <w:szCs w:val="20"/>
              </w:rPr>
            </w:pPr>
            <w:r w:rsidRPr="00D923D6">
              <w:rPr>
                <w:b/>
                <w:sz w:val="20"/>
                <w:szCs w:val="20"/>
              </w:rPr>
              <w:t>Identified</w:t>
            </w:r>
          </w:p>
        </w:tc>
        <w:tc>
          <w:tcPr>
            <w:tcW w:w="1461"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Improvements</w:t>
            </w:r>
          </w:p>
          <w:p w:rsidR="002A6FB0" w:rsidRPr="00D923D6" w:rsidRDefault="002A6FB0" w:rsidP="00814B3B">
            <w:pPr>
              <w:rPr>
                <w:b/>
                <w:sz w:val="20"/>
                <w:szCs w:val="20"/>
              </w:rPr>
            </w:pPr>
            <w:r w:rsidRPr="00D923D6">
              <w:rPr>
                <w:b/>
                <w:sz w:val="20"/>
                <w:szCs w:val="20"/>
              </w:rPr>
              <w:t>Planned</w:t>
            </w:r>
          </w:p>
        </w:tc>
        <w:tc>
          <w:tcPr>
            <w:tcW w:w="1478" w:type="dxa"/>
            <w:tcBorders>
              <w:top w:val="nil"/>
              <w:left w:val="nil"/>
              <w:bottom w:val="single" w:sz="4" w:space="0" w:color="auto"/>
              <w:right w:val="nil"/>
            </w:tcBorders>
            <w:shd w:val="clear" w:color="auto" w:fill="auto"/>
          </w:tcPr>
          <w:p w:rsidR="002A6FB0" w:rsidRPr="00D923D6" w:rsidRDefault="002A6FB0" w:rsidP="00814B3B">
            <w:pPr>
              <w:rPr>
                <w:b/>
                <w:sz w:val="20"/>
                <w:szCs w:val="20"/>
              </w:rPr>
            </w:pPr>
            <w:r w:rsidRPr="00D923D6">
              <w:rPr>
                <w:b/>
                <w:sz w:val="20"/>
                <w:szCs w:val="20"/>
              </w:rPr>
              <w:t>Date</w:t>
            </w:r>
          </w:p>
          <w:p w:rsidR="002A6FB0" w:rsidRPr="00D923D6" w:rsidRDefault="002A6FB0" w:rsidP="00814B3B">
            <w:pPr>
              <w:rPr>
                <w:b/>
                <w:sz w:val="20"/>
                <w:szCs w:val="20"/>
              </w:rPr>
            </w:pPr>
            <w:r w:rsidRPr="00D923D6">
              <w:rPr>
                <w:b/>
                <w:sz w:val="20"/>
                <w:szCs w:val="20"/>
              </w:rPr>
              <w:t>Implemented</w:t>
            </w:r>
          </w:p>
        </w:tc>
      </w:tr>
      <w:tr w:rsidR="00D34220" w:rsidRPr="00EB2E80" w:rsidTr="008945FD">
        <w:trPr>
          <w:trHeight w:val="350"/>
        </w:trPr>
        <w:tc>
          <w:tcPr>
            <w:tcW w:w="1272" w:type="dxa"/>
            <w:tcBorders>
              <w:top w:val="single" w:sz="4" w:space="0" w:color="auto"/>
            </w:tcBorders>
          </w:tcPr>
          <w:p w:rsidR="002C362F" w:rsidRPr="00BE7039" w:rsidRDefault="002C362F" w:rsidP="00220F99">
            <w:pPr>
              <w:rPr>
                <w:sz w:val="16"/>
                <w:szCs w:val="16"/>
              </w:rPr>
            </w:pPr>
            <w:r w:rsidRPr="00BE7039">
              <w:rPr>
                <w:sz w:val="16"/>
                <w:szCs w:val="16"/>
              </w:rPr>
              <w:t>Whole Person Assessment (WPA) Departmental Data</w:t>
            </w:r>
          </w:p>
        </w:tc>
        <w:tc>
          <w:tcPr>
            <w:tcW w:w="1278" w:type="dxa"/>
            <w:tcBorders>
              <w:top w:val="single" w:sz="4" w:space="0" w:color="auto"/>
            </w:tcBorders>
          </w:tcPr>
          <w:p w:rsidR="002C362F" w:rsidRPr="00BE7039" w:rsidRDefault="002C362F" w:rsidP="00220F99">
            <w:pPr>
              <w:rPr>
                <w:sz w:val="16"/>
                <w:szCs w:val="16"/>
              </w:rPr>
            </w:pPr>
            <w:r w:rsidRPr="00BE7039">
              <w:rPr>
                <w:sz w:val="16"/>
                <w:szCs w:val="16"/>
              </w:rPr>
              <w:t>General Education and Professional Measurement of Student Learning Outcomes and Competencies</w:t>
            </w:r>
          </w:p>
        </w:tc>
        <w:tc>
          <w:tcPr>
            <w:tcW w:w="1265" w:type="dxa"/>
            <w:tcBorders>
              <w:top w:val="single" w:sz="4" w:space="0" w:color="auto"/>
            </w:tcBorders>
          </w:tcPr>
          <w:p w:rsidR="002C362F" w:rsidRPr="00BE7039" w:rsidRDefault="002C362F" w:rsidP="00220F99">
            <w:pPr>
              <w:rPr>
                <w:sz w:val="16"/>
                <w:szCs w:val="16"/>
              </w:rPr>
            </w:pPr>
            <w:r w:rsidRPr="00BE7039">
              <w:rPr>
                <w:sz w:val="16"/>
                <w:szCs w:val="16"/>
              </w:rPr>
              <w:t xml:space="preserve">University </w:t>
            </w:r>
            <w:proofErr w:type="spellStart"/>
            <w:r w:rsidRPr="00BE7039">
              <w:rPr>
                <w:sz w:val="16"/>
                <w:szCs w:val="16"/>
              </w:rPr>
              <w:t>ePortfolio</w:t>
            </w:r>
            <w:proofErr w:type="spellEnd"/>
            <w:r w:rsidRPr="00BE7039">
              <w:rPr>
                <w:sz w:val="16"/>
                <w:szCs w:val="16"/>
              </w:rPr>
              <w:t xml:space="preserve"> System</w:t>
            </w:r>
          </w:p>
        </w:tc>
        <w:tc>
          <w:tcPr>
            <w:tcW w:w="1277" w:type="dxa"/>
            <w:tcBorders>
              <w:top w:val="single" w:sz="4" w:space="0" w:color="auto"/>
            </w:tcBorders>
          </w:tcPr>
          <w:p w:rsidR="002C362F" w:rsidRPr="00BE7039" w:rsidRDefault="002C362F" w:rsidP="00220F99">
            <w:pPr>
              <w:rPr>
                <w:sz w:val="16"/>
                <w:szCs w:val="16"/>
              </w:rPr>
            </w:pPr>
            <w:r w:rsidRPr="00BE7039">
              <w:rPr>
                <w:sz w:val="16"/>
                <w:szCs w:val="16"/>
              </w:rPr>
              <w:t>University-wide online student artifact and assessment system</w:t>
            </w:r>
          </w:p>
        </w:tc>
        <w:tc>
          <w:tcPr>
            <w:tcW w:w="1273" w:type="dxa"/>
            <w:tcBorders>
              <w:top w:val="single" w:sz="4" w:space="0" w:color="auto"/>
            </w:tcBorders>
          </w:tcPr>
          <w:p w:rsidR="002C362F" w:rsidRPr="00BE7039" w:rsidRDefault="002C362F" w:rsidP="00220F99">
            <w:pPr>
              <w:rPr>
                <w:sz w:val="16"/>
                <w:szCs w:val="16"/>
              </w:rPr>
            </w:pPr>
            <w:r w:rsidRPr="00BE7039">
              <w:rPr>
                <w:sz w:val="16"/>
                <w:szCs w:val="16"/>
              </w:rPr>
              <w:t>Every semester</w:t>
            </w:r>
          </w:p>
        </w:tc>
        <w:tc>
          <w:tcPr>
            <w:tcW w:w="1280" w:type="dxa"/>
            <w:tcBorders>
              <w:top w:val="single" w:sz="4" w:space="0" w:color="auto"/>
            </w:tcBorders>
          </w:tcPr>
          <w:p w:rsidR="002C362F" w:rsidRPr="00BE7039" w:rsidRDefault="002C362F" w:rsidP="00220F99">
            <w:pPr>
              <w:rPr>
                <w:sz w:val="16"/>
                <w:szCs w:val="16"/>
              </w:rPr>
            </w:pPr>
            <w:r w:rsidRPr="00BE7039">
              <w:rPr>
                <w:sz w:val="16"/>
                <w:szCs w:val="16"/>
              </w:rPr>
              <w:t>Office of Institutional Effectiveness, General Education Committee, Department Chair and Faculty</w:t>
            </w:r>
          </w:p>
        </w:tc>
        <w:tc>
          <w:tcPr>
            <w:tcW w:w="1272" w:type="dxa"/>
            <w:tcBorders>
              <w:top w:val="single" w:sz="4" w:space="0" w:color="auto"/>
              <w:right w:val="single" w:sz="18" w:space="0" w:color="auto"/>
            </w:tcBorders>
          </w:tcPr>
          <w:p w:rsidR="002C362F" w:rsidRPr="00BE7039" w:rsidRDefault="002C362F" w:rsidP="00220F99">
            <w:pPr>
              <w:rPr>
                <w:sz w:val="16"/>
                <w:szCs w:val="16"/>
              </w:rPr>
            </w:pPr>
            <w:r w:rsidRPr="00BE7039">
              <w:rPr>
                <w:sz w:val="16"/>
                <w:szCs w:val="16"/>
              </w:rPr>
              <w:t>Measures across all university Student Learning Outcomes</w:t>
            </w:r>
          </w:p>
        </w:tc>
        <w:tc>
          <w:tcPr>
            <w:tcW w:w="1267" w:type="dxa"/>
            <w:tcBorders>
              <w:top w:val="single" w:sz="4" w:space="0" w:color="auto"/>
              <w:left w:val="single" w:sz="18" w:space="0" w:color="auto"/>
            </w:tcBorders>
            <w:shd w:val="clear" w:color="auto" w:fill="FDE9D9" w:themeFill="accent6" w:themeFillTint="33"/>
          </w:tcPr>
          <w:p w:rsidR="002C362F" w:rsidRDefault="002C362F" w:rsidP="00814B3B">
            <w:pPr>
              <w:rPr>
                <w:sz w:val="16"/>
              </w:rPr>
            </w:pPr>
            <w:r>
              <w:rPr>
                <w:sz w:val="16"/>
              </w:rPr>
              <w:t>On-going but most recently reviewed in 1/5/16 COB Assessment Meeting</w:t>
            </w:r>
          </w:p>
        </w:tc>
        <w:tc>
          <w:tcPr>
            <w:tcW w:w="1277" w:type="dxa"/>
            <w:tcBorders>
              <w:top w:val="single" w:sz="4" w:space="0" w:color="auto"/>
              <w:right w:val="single" w:sz="4" w:space="0" w:color="auto"/>
            </w:tcBorders>
            <w:shd w:val="clear" w:color="auto" w:fill="FDE9D9" w:themeFill="accent6" w:themeFillTint="33"/>
          </w:tcPr>
          <w:p w:rsidR="00ED0AFE" w:rsidRDefault="00845F0F" w:rsidP="002C362F">
            <w:pPr>
              <w:rPr>
                <w:sz w:val="16"/>
              </w:rPr>
            </w:pPr>
            <w:r>
              <w:rPr>
                <w:sz w:val="16"/>
              </w:rPr>
              <w:t xml:space="preserve">1)In addition to the </w:t>
            </w:r>
            <w:r w:rsidR="002C362F">
              <w:rPr>
                <w:sz w:val="16"/>
              </w:rPr>
              <w:t>COB Professional Competency Score</w:t>
            </w:r>
            <w:r>
              <w:rPr>
                <w:sz w:val="16"/>
              </w:rPr>
              <w:t xml:space="preserve"> (single number), additional detail would allow for </w:t>
            </w:r>
            <w:r w:rsidR="002C362F">
              <w:rPr>
                <w:sz w:val="16"/>
              </w:rPr>
              <w:t xml:space="preserve"> a </w:t>
            </w:r>
            <w:r>
              <w:rPr>
                <w:sz w:val="16"/>
              </w:rPr>
              <w:t xml:space="preserve">more </w:t>
            </w:r>
            <w:r w:rsidR="002C362F">
              <w:rPr>
                <w:sz w:val="16"/>
              </w:rPr>
              <w:t>thorough assessment</w:t>
            </w:r>
          </w:p>
        </w:tc>
        <w:tc>
          <w:tcPr>
            <w:tcW w:w="1461" w:type="dxa"/>
            <w:tcBorders>
              <w:top w:val="single" w:sz="4" w:space="0" w:color="auto"/>
              <w:left w:val="single" w:sz="4" w:space="0" w:color="auto"/>
            </w:tcBorders>
            <w:shd w:val="clear" w:color="auto" w:fill="FDE9D9" w:themeFill="accent6" w:themeFillTint="33"/>
          </w:tcPr>
          <w:p w:rsidR="00ED0AFE" w:rsidRDefault="002C362F" w:rsidP="00ED0AFE">
            <w:pPr>
              <w:rPr>
                <w:sz w:val="16"/>
              </w:rPr>
            </w:pPr>
            <w:r>
              <w:rPr>
                <w:sz w:val="16"/>
              </w:rPr>
              <w:t>1)</w:t>
            </w:r>
            <w:r w:rsidR="00ED0AFE">
              <w:rPr>
                <w:sz w:val="16"/>
              </w:rPr>
              <w:t>For COB Professional Competency Score, p</w:t>
            </w:r>
            <w:r>
              <w:rPr>
                <w:sz w:val="16"/>
              </w:rPr>
              <w:t>rovide detailed reports by COB student learning outcomes</w:t>
            </w:r>
          </w:p>
          <w:p w:rsidR="00ED0AFE" w:rsidRDefault="00ED0AFE" w:rsidP="00ED0AFE">
            <w:pPr>
              <w:rPr>
                <w:sz w:val="16"/>
              </w:rPr>
            </w:pPr>
          </w:p>
          <w:p w:rsidR="00ED0AFE" w:rsidRDefault="00ED0AFE" w:rsidP="00ED0AFE">
            <w:pPr>
              <w:rPr>
                <w:sz w:val="16"/>
              </w:rPr>
            </w:pPr>
          </w:p>
        </w:tc>
        <w:tc>
          <w:tcPr>
            <w:tcW w:w="1478" w:type="dxa"/>
            <w:tcBorders>
              <w:top w:val="single" w:sz="4" w:space="0" w:color="auto"/>
            </w:tcBorders>
            <w:shd w:val="clear" w:color="auto" w:fill="FDE9D9" w:themeFill="accent6" w:themeFillTint="33"/>
          </w:tcPr>
          <w:p w:rsidR="002C362F" w:rsidRDefault="00ED0AFE" w:rsidP="00814B3B">
            <w:pPr>
              <w:rPr>
                <w:sz w:val="16"/>
                <w:szCs w:val="20"/>
              </w:rPr>
            </w:pPr>
            <w:r>
              <w:rPr>
                <w:sz w:val="16"/>
                <w:szCs w:val="20"/>
              </w:rPr>
              <w:t>1) Spring 2016</w:t>
            </w: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p w:rsidR="00ED0AFE" w:rsidRDefault="00ED0AFE" w:rsidP="00814B3B">
            <w:pPr>
              <w:rPr>
                <w:sz w:val="16"/>
                <w:szCs w:val="20"/>
              </w:rPr>
            </w:pPr>
          </w:p>
        </w:tc>
      </w:tr>
      <w:tr w:rsidR="00D34220" w:rsidRPr="00EB2E80" w:rsidTr="008945FD">
        <w:trPr>
          <w:trHeight w:val="350"/>
        </w:trPr>
        <w:tc>
          <w:tcPr>
            <w:tcW w:w="1272" w:type="dxa"/>
            <w:tcBorders>
              <w:top w:val="single" w:sz="4" w:space="0" w:color="auto"/>
            </w:tcBorders>
          </w:tcPr>
          <w:p w:rsidR="00C57D55" w:rsidRPr="00EB2E80" w:rsidRDefault="00C57D55" w:rsidP="00814B3B">
            <w:pPr>
              <w:rPr>
                <w:sz w:val="16"/>
              </w:rPr>
            </w:pPr>
            <w:r>
              <w:rPr>
                <w:sz w:val="16"/>
              </w:rPr>
              <w:t>University Program Review Data</w:t>
            </w:r>
          </w:p>
        </w:tc>
        <w:tc>
          <w:tcPr>
            <w:tcW w:w="1278" w:type="dxa"/>
            <w:tcBorders>
              <w:top w:val="single" w:sz="4" w:space="0" w:color="auto"/>
            </w:tcBorders>
          </w:tcPr>
          <w:p w:rsidR="00C57D55" w:rsidRPr="00BE7039" w:rsidRDefault="00C57D55" w:rsidP="00220F99">
            <w:pPr>
              <w:rPr>
                <w:sz w:val="16"/>
                <w:szCs w:val="16"/>
              </w:rPr>
            </w:pPr>
            <w:r w:rsidRPr="00BE7039">
              <w:rPr>
                <w:sz w:val="16"/>
                <w:szCs w:val="16"/>
              </w:rPr>
              <w:t>Office of Institutional Effectiveness Data Report of key departmental effectiveness indicators</w:t>
            </w:r>
          </w:p>
        </w:tc>
        <w:tc>
          <w:tcPr>
            <w:tcW w:w="1265" w:type="dxa"/>
            <w:tcBorders>
              <w:top w:val="single" w:sz="4" w:space="0" w:color="auto"/>
            </w:tcBorders>
          </w:tcPr>
          <w:p w:rsidR="00C57D55" w:rsidRPr="00BE7039" w:rsidRDefault="00C57D55" w:rsidP="00220F99">
            <w:pPr>
              <w:rPr>
                <w:sz w:val="16"/>
                <w:szCs w:val="16"/>
              </w:rPr>
            </w:pPr>
            <w:r w:rsidRPr="00BE7039">
              <w:rPr>
                <w:sz w:val="16"/>
                <w:szCs w:val="16"/>
              </w:rPr>
              <w:t>University data systems</w:t>
            </w:r>
          </w:p>
        </w:tc>
        <w:tc>
          <w:tcPr>
            <w:tcW w:w="1277" w:type="dxa"/>
            <w:tcBorders>
              <w:top w:val="single" w:sz="4" w:space="0" w:color="auto"/>
            </w:tcBorders>
          </w:tcPr>
          <w:p w:rsidR="00C57D55" w:rsidRPr="00BE7039" w:rsidRDefault="00C57D55" w:rsidP="00220F99">
            <w:pPr>
              <w:rPr>
                <w:sz w:val="16"/>
                <w:szCs w:val="16"/>
              </w:rPr>
            </w:pPr>
            <w:r w:rsidRPr="00BE7039">
              <w:rPr>
                <w:sz w:val="16"/>
                <w:szCs w:val="16"/>
              </w:rPr>
              <w:t>Program Review Dashboard Report</w:t>
            </w:r>
          </w:p>
        </w:tc>
        <w:tc>
          <w:tcPr>
            <w:tcW w:w="1273" w:type="dxa"/>
            <w:tcBorders>
              <w:top w:val="single" w:sz="4" w:space="0" w:color="auto"/>
            </w:tcBorders>
          </w:tcPr>
          <w:p w:rsidR="00C57D55" w:rsidRPr="00BE7039" w:rsidRDefault="00C57D55" w:rsidP="00220F99">
            <w:pPr>
              <w:rPr>
                <w:sz w:val="16"/>
                <w:szCs w:val="16"/>
              </w:rPr>
            </w:pPr>
            <w:r w:rsidRPr="00BE7039">
              <w:rPr>
                <w:sz w:val="16"/>
                <w:szCs w:val="16"/>
              </w:rPr>
              <w:t>Every semester</w:t>
            </w:r>
          </w:p>
        </w:tc>
        <w:tc>
          <w:tcPr>
            <w:tcW w:w="1280" w:type="dxa"/>
            <w:tcBorders>
              <w:top w:val="single" w:sz="4" w:space="0" w:color="auto"/>
            </w:tcBorders>
          </w:tcPr>
          <w:p w:rsidR="00C57D55" w:rsidRPr="00BE7039" w:rsidRDefault="00C57D55" w:rsidP="00220F99">
            <w:pPr>
              <w:rPr>
                <w:sz w:val="16"/>
                <w:szCs w:val="16"/>
              </w:rPr>
            </w:pPr>
            <w:r w:rsidRPr="00BE7039">
              <w:rPr>
                <w:sz w:val="16"/>
                <w:szCs w:val="16"/>
              </w:rPr>
              <w:t>Office of Institutional Effectiveness, Department Chair</w:t>
            </w:r>
          </w:p>
        </w:tc>
        <w:tc>
          <w:tcPr>
            <w:tcW w:w="1272" w:type="dxa"/>
            <w:tcBorders>
              <w:top w:val="single" w:sz="4" w:space="0" w:color="auto"/>
              <w:right w:val="single" w:sz="18" w:space="0" w:color="auto"/>
            </w:tcBorders>
          </w:tcPr>
          <w:p w:rsidR="00C57D55" w:rsidRPr="00BE7039" w:rsidRDefault="00C57D55" w:rsidP="00220F99">
            <w:pPr>
              <w:rPr>
                <w:sz w:val="16"/>
                <w:szCs w:val="16"/>
              </w:rPr>
            </w:pPr>
            <w:r w:rsidRPr="00BE7039">
              <w:rPr>
                <w:sz w:val="16"/>
                <w:szCs w:val="16"/>
              </w:rPr>
              <w:t>Office of Institutional Effectiveness Data Report of key departmental effectiveness indicators</w:t>
            </w:r>
          </w:p>
        </w:tc>
        <w:tc>
          <w:tcPr>
            <w:tcW w:w="1267" w:type="dxa"/>
            <w:tcBorders>
              <w:top w:val="single" w:sz="4" w:space="0" w:color="auto"/>
              <w:left w:val="single" w:sz="18" w:space="0" w:color="auto"/>
            </w:tcBorders>
            <w:shd w:val="clear" w:color="auto" w:fill="FDE9D9" w:themeFill="accent6" w:themeFillTint="33"/>
          </w:tcPr>
          <w:p w:rsidR="00C57D55" w:rsidRPr="00EB2E80" w:rsidRDefault="004C27BA" w:rsidP="00814B3B">
            <w:pPr>
              <w:rPr>
                <w:sz w:val="16"/>
              </w:rPr>
            </w:pPr>
            <w:r>
              <w:rPr>
                <w:sz w:val="16"/>
              </w:rPr>
              <w:t xml:space="preserve">On-going but most recently </w:t>
            </w:r>
            <w:r w:rsidR="00A97847">
              <w:rPr>
                <w:sz w:val="16"/>
              </w:rPr>
              <w:t>7/28/15, 11/3/15, 12/9/15 Deans Meeting; 1/5/16 COB Assessment Meeting</w:t>
            </w:r>
          </w:p>
        </w:tc>
        <w:tc>
          <w:tcPr>
            <w:tcW w:w="1277" w:type="dxa"/>
            <w:tcBorders>
              <w:top w:val="single" w:sz="4" w:space="0" w:color="auto"/>
              <w:right w:val="single" w:sz="4" w:space="0" w:color="auto"/>
            </w:tcBorders>
            <w:shd w:val="clear" w:color="auto" w:fill="FDE9D9" w:themeFill="accent6" w:themeFillTint="33"/>
          </w:tcPr>
          <w:p w:rsidR="00C57D55" w:rsidRDefault="00A97847" w:rsidP="00A97847">
            <w:pPr>
              <w:rPr>
                <w:sz w:val="16"/>
              </w:rPr>
            </w:pPr>
            <w:r>
              <w:rPr>
                <w:sz w:val="16"/>
              </w:rPr>
              <w:t>1)</w:t>
            </w:r>
            <w:r w:rsidR="00992666">
              <w:rPr>
                <w:sz w:val="16"/>
              </w:rPr>
              <w:t xml:space="preserve"> </w:t>
            </w:r>
            <w:r w:rsidRPr="00992666">
              <w:rPr>
                <w:sz w:val="16"/>
                <w:u w:val="single"/>
              </w:rPr>
              <w:t>Student Faculty Ratio</w:t>
            </w:r>
            <w:r w:rsidRPr="00A97847">
              <w:rPr>
                <w:sz w:val="16"/>
              </w:rPr>
              <w:t xml:space="preserve"> current</w:t>
            </w:r>
            <w:r w:rsidR="007E1456">
              <w:rPr>
                <w:sz w:val="16"/>
              </w:rPr>
              <w:t xml:space="preserve">ly reported by department </w:t>
            </w:r>
            <w:r w:rsidRPr="00A97847">
              <w:rPr>
                <w:sz w:val="16"/>
              </w:rPr>
              <w:t xml:space="preserve">is greater for departments with gen </w:t>
            </w:r>
            <w:proofErr w:type="spellStart"/>
            <w:r w:rsidRPr="00A97847">
              <w:rPr>
                <w:sz w:val="16"/>
              </w:rPr>
              <w:t>ed</w:t>
            </w:r>
            <w:proofErr w:type="spellEnd"/>
            <w:r w:rsidRPr="00A97847">
              <w:rPr>
                <w:sz w:val="16"/>
              </w:rPr>
              <w:t xml:space="preserve"> requirements</w:t>
            </w:r>
          </w:p>
          <w:p w:rsidR="00A82417" w:rsidRDefault="00992666" w:rsidP="00A97847">
            <w:pPr>
              <w:rPr>
                <w:sz w:val="16"/>
              </w:rPr>
            </w:pPr>
            <w:r>
              <w:rPr>
                <w:sz w:val="16"/>
              </w:rPr>
              <w:t xml:space="preserve">2) COB </w:t>
            </w:r>
            <w:r w:rsidRPr="00992666">
              <w:rPr>
                <w:sz w:val="16"/>
                <w:u w:val="single"/>
              </w:rPr>
              <w:t xml:space="preserve">3 </w:t>
            </w:r>
            <w:proofErr w:type="spellStart"/>
            <w:r w:rsidRPr="00992666">
              <w:rPr>
                <w:sz w:val="16"/>
                <w:u w:val="single"/>
              </w:rPr>
              <w:t>Yr</w:t>
            </w:r>
            <w:proofErr w:type="spellEnd"/>
            <w:r>
              <w:rPr>
                <w:sz w:val="16"/>
              </w:rPr>
              <w:t xml:space="preserve"> </w:t>
            </w:r>
            <w:r w:rsidRPr="00992666">
              <w:rPr>
                <w:sz w:val="16"/>
                <w:u w:val="single"/>
              </w:rPr>
              <w:t>Enrollment</w:t>
            </w:r>
            <w:r>
              <w:rPr>
                <w:sz w:val="16"/>
              </w:rPr>
              <w:t xml:space="preserve"> </w:t>
            </w:r>
            <w:r w:rsidRPr="00992666">
              <w:rPr>
                <w:sz w:val="16"/>
                <w:u w:val="single"/>
              </w:rPr>
              <w:t>Trend</w:t>
            </w:r>
            <w:r>
              <w:rPr>
                <w:sz w:val="16"/>
              </w:rPr>
              <w:t xml:space="preserve"> by Department though highest at ORU, for more critical evaluation</w:t>
            </w:r>
            <w:r w:rsidR="00AB67F1">
              <w:rPr>
                <w:sz w:val="16"/>
              </w:rPr>
              <w:t>,</w:t>
            </w:r>
            <w:r>
              <w:rPr>
                <w:sz w:val="16"/>
              </w:rPr>
              <w:t xml:space="preserve"> review supporting data</w:t>
            </w:r>
          </w:p>
          <w:p w:rsidR="006B0372" w:rsidRPr="00A97847" w:rsidRDefault="00306745" w:rsidP="0058255A">
            <w:pPr>
              <w:rPr>
                <w:sz w:val="16"/>
              </w:rPr>
            </w:pPr>
            <w:r>
              <w:rPr>
                <w:sz w:val="16"/>
              </w:rPr>
              <w:t xml:space="preserve">3) </w:t>
            </w:r>
            <w:r w:rsidRPr="00306745">
              <w:rPr>
                <w:sz w:val="16"/>
                <w:u w:val="single"/>
              </w:rPr>
              <w:t>COB Retention and Persistence Rates</w:t>
            </w:r>
            <w:r w:rsidR="00B40BD8">
              <w:rPr>
                <w:sz w:val="16"/>
              </w:rPr>
              <w:t xml:space="preserve"> are strong and </w:t>
            </w:r>
            <w:r w:rsidR="00B40BD8" w:rsidRPr="00B40BD8">
              <w:rPr>
                <w:i/>
                <w:sz w:val="16"/>
              </w:rPr>
              <w:t>average</w:t>
            </w:r>
            <w:r>
              <w:rPr>
                <w:sz w:val="16"/>
              </w:rPr>
              <w:t xml:space="preserve"> </w:t>
            </w:r>
            <w:r w:rsidRPr="00306745">
              <w:rPr>
                <w:sz w:val="16"/>
                <w:u w:val="single"/>
              </w:rPr>
              <w:t>Graduation Rate</w:t>
            </w:r>
            <w:r w:rsidR="00B40BD8">
              <w:rPr>
                <w:sz w:val="16"/>
              </w:rPr>
              <w:t xml:space="preserve"> is low </w:t>
            </w:r>
          </w:p>
        </w:tc>
        <w:tc>
          <w:tcPr>
            <w:tcW w:w="1461" w:type="dxa"/>
            <w:tcBorders>
              <w:top w:val="single" w:sz="4" w:space="0" w:color="auto"/>
              <w:left w:val="single" w:sz="4" w:space="0" w:color="auto"/>
            </w:tcBorders>
            <w:shd w:val="clear" w:color="auto" w:fill="FDE9D9" w:themeFill="accent6" w:themeFillTint="33"/>
          </w:tcPr>
          <w:p w:rsidR="008945FD" w:rsidRDefault="00A97847" w:rsidP="00A97847">
            <w:pPr>
              <w:rPr>
                <w:sz w:val="16"/>
              </w:rPr>
            </w:pPr>
            <w:r>
              <w:rPr>
                <w:sz w:val="16"/>
              </w:rPr>
              <w:t>1)</w:t>
            </w:r>
            <w:r w:rsidR="00992666">
              <w:rPr>
                <w:sz w:val="16"/>
              </w:rPr>
              <w:t xml:space="preserve"> </w:t>
            </w:r>
            <w:r w:rsidRPr="00A97847">
              <w:rPr>
                <w:sz w:val="16"/>
              </w:rPr>
              <w:t>Re</w:t>
            </w:r>
            <w:r>
              <w:rPr>
                <w:sz w:val="16"/>
              </w:rPr>
              <w:t>commend reporting by major</w:t>
            </w:r>
            <w:r w:rsidR="007E1456">
              <w:rPr>
                <w:sz w:val="16"/>
              </w:rPr>
              <w:t xml:space="preserve"> (vs. department)</w:t>
            </w:r>
            <w:r>
              <w:rPr>
                <w:sz w:val="16"/>
              </w:rPr>
              <w:t xml:space="preserve"> for a more accurate measure</w:t>
            </w:r>
            <w:r w:rsidR="00845F0F">
              <w:rPr>
                <w:sz w:val="16"/>
              </w:rPr>
              <w:t xml:space="preserve"> for program review decisions</w:t>
            </w:r>
          </w:p>
          <w:p w:rsidR="008945FD" w:rsidRDefault="008945FD" w:rsidP="00A97847">
            <w:pPr>
              <w:rPr>
                <w:sz w:val="16"/>
              </w:rPr>
            </w:pPr>
          </w:p>
          <w:p w:rsidR="008945FD" w:rsidRDefault="008945FD" w:rsidP="00A97847">
            <w:pPr>
              <w:rPr>
                <w:sz w:val="16"/>
              </w:rPr>
            </w:pPr>
          </w:p>
          <w:p w:rsidR="00992666" w:rsidRDefault="00992666" w:rsidP="00A97847">
            <w:pPr>
              <w:rPr>
                <w:sz w:val="16"/>
              </w:rPr>
            </w:pPr>
            <w:r>
              <w:rPr>
                <w:sz w:val="16"/>
              </w:rPr>
              <w:t xml:space="preserve">2) Develop reports for </w:t>
            </w:r>
            <w:r w:rsidR="00A82417">
              <w:rPr>
                <w:sz w:val="16"/>
              </w:rPr>
              <w:t>enrollment by semester by</w:t>
            </w:r>
            <w:r>
              <w:rPr>
                <w:sz w:val="16"/>
              </w:rPr>
              <w:t xml:space="preserve"> class standing; enrollment by</w:t>
            </w:r>
            <w:r w:rsidR="00A82417">
              <w:rPr>
                <w:sz w:val="16"/>
              </w:rPr>
              <w:t xml:space="preserve"> semester by</w:t>
            </w:r>
            <w:r>
              <w:rPr>
                <w:sz w:val="16"/>
              </w:rPr>
              <w:t xml:space="preserve"> major; </w:t>
            </w:r>
            <w:r w:rsidR="00A82417">
              <w:rPr>
                <w:sz w:val="16"/>
              </w:rPr>
              <w:t>enrollment for Fall 2015 by class standing by major</w:t>
            </w:r>
          </w:p>
          <w:p w:rsidR="00306745" w:rsidRDefault="00306745" w:rsidP="00A97847">
            <w:pPr>
              <w:rPr>
                <w:sz w:val="16"/>
              </w:rPr>
            </w:pPr>
          </w:p>
          <w:p w:rsidR="00306745" w:rsidRDefault="00306745" w:rsidP="00A97847">
            <w:pPr>
              <w:rPr>
                <w:sz w:val="16"/>
              </w:rPr>
            </w:pPr>
            <w:r>
              <w:rPr>
                <w:sz w:val="16"/>
              </w:rPr>
              <w:t xml:space="preserve">3) </w:t>
            </w:r>
            <w:r w:rsidR="00B40BD8">
              <w:rPr>
                <w:sz w:val="16"/>
              </w:rPr>
              <w:t>Review Graduate Rate by major to understand strongest influencers</w:t>
            </w:r>
          </w:p>
          <w:p w:rsidR="006B0372" w:rsidRPr="00A97847" w:rsidRDefault="006B0372" w:rsidP="00A97847">
            <w:pPr>
              <w:rPr>
                <w:sz w:val="16"/>
              </w:rPr>
            </w:pPr>
          </w:p>
        </w:tc>
        <w:tc>
          <w:tcPr>
            <w:tcW w:w="1478" w:type="dxa"/>
            <w:tcBorders>
              <w:top w:val="single" w:sz="4" w:space="0" w:color="auto"/>
            </w:tcBorders>
            <w:shd w:val="clear" w:color="auto" w:fill="FDE9D9" w:themeFill="accent6" w:themeFillTint="33"/>
          </w:tcPr>
          <w:p w:rsidR="00C57D55" w:rsidRDefault="00A97847" w:rsidP="00814B3B">
            <w:pPr>
              <w:rPr>
                <w:sz w:val="16"/>
                <w:szCs w:val="20"/>
              </w:rPr>
            </w:pPr>
            <w:r>
              <w:rPr>
                <w:sz w:val="16"/>
                <w:szCs w:val="20"/>
              </w:rPr>
              <w:t>1)Recommendation made to IE Spring 2016</w:t>
            </w:r>
          </w:p>
          <w:p w:rsidR="00A82417" w:rsidRDefault="00A82417" w:rsidP="00814B3B">
            <w:pPr>
              <w:rPr>
                <w:sz w:val="16"/>
                <w:szCs w:val="20"/>
              </w:rPr>
            </w:pPr>
          </w:p>
          <w:p w:rsidR="008945FD" w:rsidRDefault="008945FD" w:rsidP="00814B3B">
            <w:pPr>
              <w:rPr>
                <w:sz w:val="16"/>
                <w:szCs w:val="20"/>
              </w:rPr>
            </w:pPr>
          </w:p>
          <w:p w:rsidR="008945FD" w:rsidRDefault="008945FD" w:rsidP="00814B3B">
            <w:pPr>
              <w:rPr>
                <w:sz w:val="16"/>
                <w:szCs w:val="20"/>
              </w:rPr>
            </w:pPr>
          </w:p>
          <w:p w:rsidR="008945FD" w:rsidRDefault="008945FD" w:rsidP="00814B3B">
            <w:pPr>
              <w:rPr>
                <w:sz w:val="16"/>
                <w:szCs w:val="20"/>
              </w:rPr>
            </w:pPr>
          </w:p>
          <w:p w:rsidR="008945FD" w:rsidRDefault="008945FD" w:rsidP="00814B3B">
            <w:pPr>
              <w:rPr>
                <w:sz w:val="16"/>
                <w:szCs w:val="20"/>
              </w:rPr>
            </w:pPr>
          </w:p>
          <w:p w:rsidR="008945FD" w:rsidRDefault="008945FD" w:rsidP="00814B3B">
            <w:pPr>
              <w:rPr>
                <w:sz w:val="16"/>
                <w:szCs w:val="20"/>
              </w:rPr>
            </w:pPr>
          </w:p>
          <w:p w:rsidR="00A82417" w:rsidRDefault="00A82417" w:rsidP="00814B3B">
            <w:pPr>
              <w:rPr>
                <w:sz w:val="16"/>
                <w:szCs w:val="20"/>
              </w:rPr>
            </w:pPr>
            <w:r>
              <w:rPr>
                <w:sz w:val="16"/>
                <w:szCs w:val="20"/>
              </w:rPr>
              <w:t>2) Reports created and reviewed 1/2016</w:t>
            </w:r>
            <w:r w:rsidR="00B40BD8">
              <w:rPr>
                <w:sz w:val="16"/>
                <w:szCs w:val="20"/>
              </w:rPr>
              <w:t xml:space="preserve">; No significant downward trends identified; enrollment continues to be strong </w:t>
            </w:r>
          </w:p>
          <w:p w:rsidR="00B40BD8" w:rsidRDefault="00B40BD8" w:rsidP="00814B3B">
            <w:pPr>
              <w:rPr>
                <w:sz w:val="16"/>
                <w:szCs w:val="20"/>
              </w:rPr>
            </w:pPr>
          </w:p>
          <w:p w:rsidR="006B0372" w:rsidRPr="00EB2E80" w:rsidRDefault="00B40BD8" w:rsidP="00814B3B">
            <w:pPr>
              <w:rPr>
                <w:sz w:val="16"/>
                <w:szCs w:val="20"/>
              </w:rPr>
            </w:pPr>
            <w:r>
              <w:rPr>
                <w:sz w:val="16"/>
                <w:szCs w:val="20"/>
              </w:rPr>
              <w:t>3) Data reviewed with COB faculty Spr</w:t>
            </w:r>
            <w:r w:rsidR="00845F0F">
              <w:rPr>
                <w:sz w:val="16"/>
                <w:szCs w:val="20"/>
              </w:rPr>
              <w:t xml:space="preserve">ing 2016; Continue to monitor </w:t>
            </w:r>
            <w:r>
              <w:rPr>
                <w:sz w:val="16"/>
                <w:szCs w:val="20"/>
              </w:rPr>
              <w:t>majors with low graduation rate</w:t>
            </w:r>
          </w:p>
        </w:tc>
      </w:tr>
      <w:tr w:rsidR="00D34220" w:rsidRPr="00EB2E80" w:rsidTr="008945FD">
        <w:trPr>
          <w:trHeight w:val="350"/>
        </w:trPr>
        <w:tc>
          <w:tcPr>
            <w:tcW w:w="1272" w:type="dxa"/>
          </w:tcPr>
          <w:p w:rsidR="008945FD" w:rsidRPr="00BE7039" w:rsidRDefault="008945FD" w:rsidP="00220F99">
            <w:pPr>
              <w:rPr>
                <w:sz w:val="16"/>
                <w:szCs w:val="16"/>
              </w:rPr>
            </w:pPr>
            <w:r w:rsidRPr="00BE7039">
              <w:rPr>
                <w:sz w:val="16"/>
                <w:szCs w:val="16"/>
              </w:rPr>
              <w:t>ETS National Major Field Test for</w:t>
            </w:r>
            <w:r>
              <w:rPr>
                <w:sz w:val="16"/>
                <w:szCs w:val="16"/>
              </w:rPr>
              <w:t xml:space="preserve"> College of Business</w:t>
            </w:r>
          </w:p>
        </w:tc>
        <w:tc>
          <w:tcPr>
            <w:tcW w:w="1278" w:type="dxa"/>
          </w:tcPr>
          <w:p w:rsidR="008945FD" w:rsidRPr="00BE7039" w:rsidRDefault="004F61F0" w:rsidP="00220F99">
            <w:pPr>
              <w:rPr>
                <w:sz w:val="16"/>
                <w:szCs w:val="16"/>
              </w:rPr>
            </w:pPr>
            <w:r>
              <w:rPr>
                <w:sz w:val="16"/>
                <w:szCs w:val="16"/>
              </w:rPr>
              <w:t>C</w:t>
            </w:r>
            <w:r w:rsidR="008945FD" w:rsidRPr="00BE7039">
              <w:rPr>
                <w:sz w:val="16"/>
                <w:szCs w:val="16"/>
              </w:rPr>
              <w:t xml:space="preserve">omprehensive </w:t>
            </w:r>
            <w:r w:rsidR="008945FD">
              <w:rPr>
                <w:sz w:val="16"/>
                <w:szCs w:val="16"/>
              </w:rPr>
              <w:t xml:space="preserve">graduate and </w:t>
            </w:r>
            <w:r w:rsidR="008945FD" w:rsidRPr="00BE7039">
              <w:rPr>
                <w:sz w:val="16"/>
                <w:szCs w:val="16"/>
              </w:rPr>
              <w:t>un</w:t>
            </w:r>
            <w:r>
              <w:rPr>
                <w:sz w:val="16"/>
                <w:szCs w:val="16"/>
              </w:rPr>
              <w:t>dergraduate outcomes assessment</w:t>
            </w:r>
            <w:r w:rsidR="008945FD" w:rsidRPr="00BE7039">
              <w:rPr>
                <w:sz w:val="16"/>
                <w:szCs w:val="16"/>
              </w:rPr>
              <w:t xml:space="preserve"> designed to measure the critical knowledge and understanding obtained by stu</w:t>
            </w:r>
            <w:r>
              <w:rPr>
                <w:sz w:val="16"/>
                <w:szCs w:val="16"/>
              </w:rPr>
              <w:t>dents in a major field of study</w:t>
            </w:r>
          </w:p>
        </w:tc>
        <w:tc>
          <w:tcPr>
            <w:tcW w:w="1265" w:type="dxa"/>
          </w:tcPr>
          <w:p w:rsidR="008945FD" w:rsidRPr="00BE7039" w:rsidRDefault="008945FD" w:rsidP="00220F99">
            <w:pPr>
              <w:rPr>
                <w:sz w:val="16"/>
                <w:szCs w:val="16"/>
              </w:rPr>
            </w:pPr>
            <w:r w:rsidRPr="00BE7039">
              <w:rPr>
                <w:sz w:val="16"/>
                <w:szCs w:val="16"/>
              </w:rPr>
              <w:t>Educational Testing Service</w:t>
            </w:r>
          </w:p>
        </w:tc>
        <w:tc>
          <w:tcPr>
            <w:tcW w:w="1277" w:type="dxa"/>
          </w:tcPr>
          <w:p w:rsidR="008945FD" w:rsidRPr="00BE7039" w:rsidRDefault="004F61F0" w:rsidP="00220F99">
            <w:pPr>
              <w:rPr>
                <w:sz w:val="16"/>
                <w:szCs w:val="16"/>
              </w:rPr>
            </w:pPr>
            <w:r>
              <w:rPr>
                <w:sz w:val="16"/>
                <w:szCs w:val="16"/>
              </w:rPr>
              <w:t>P</w:t>
            </w:r>
            <w:r w:rsidR="008945FD" w:rsidRPr="00BE7039">
              <w:rPr>
                <w:sz w:val="16"/>
                <w:szCs w:val="16"/>
              </w:rPr>
              <w:t>roctored, nationally-normed assessment</w:t>
            </w:r>
          </w:p>
        </w:tc>
        <w:tc>
          <w:tcPr>
            <w:tcW w:w="1273" w:type="dxa"/>
          </w:tcPr>
          <w:p w:rsidR="008945FD" w:rsidRPr="00BE7039" w:rsidRDefault="008945FD" w:rsidP="004F61F0">
            <w:pPr>
              <w:rPr>
                <w:sz w:val="16"/>
                <w:szCs w:val="16"/>
              </w:rPr>
            </w:pPr>
            <w:r w:rsidRPr="00BE7039">
              <w:rPr>
                <w:sz w:val="16"/>
                <w:szCs w:val="16"/>
              </w:rPr>
              <w:t>Once per year to gradu</w:t>
            </w:r>
            <w:r w:rsidR="004F61F0">
              <w:rPr>
                <w:sz w:val="16"/>
                <w:szCs w:val="16"/>
              </w:rPr>
              <w:t>ating undergraduate seniors.  Due to cost and size of program, once every two years to graduating MBA students.</w:t>
            </w:r>
          </w:p>
        </w:tc>
        <w:tc>
          <w:tcPr>
            <w:tcW w:w="1280" w:type="dxa"/>
          </w:tcPr>
          <w:p w:rsidR="008945FD" w:rsidRPr="00BE7039" w:rsidRDefault="00D34220" w:rsidP="00220F99">
            <w:pPr>
              <w:rPr>
                <w:sz w:val="16"/>
                <w:szCs w:val="16"/>
              </w:rPr>
            </w:pPr>
            <w:r>
              <w:rPr>
                <w:sz w:val="16"/>
                <w:szCs w:val="16"/>
              </w:rPr>
              <w:t xml:space="preserve">Undergraduate </w:t>
            </w:r>
            <w:r w:rsidR="008945FD" w:rsidRPr="00BE7039">
              <w:rPr>
                <w:sz w:val="16"/>
                <w:szCs w:val="16"/>
              </w:rPr>
              <w:t>Depar</w:t>
            </w:r>
            <w:r>
              <w:rPr>
                <w:sz w:val="16"/>
                <w:szCs w:val="16"/>
              </w:rPr>
              <w:t>tment Chair</w:t>
            </w:r>
          </w:p>
        </w:tc>
        <w:tc>
          <w:tcPr>
            <w:tcW w:w="1272" w:type="dxa"/>
            <w:tcBorders>
              <w:right w:val="single" w:sz="18" w:space="0" w:color="auto"/>
            </w:tcBorders>
          </w:tcPr>
          <w:p w:rsidR="008945FD" w:rsidRPr="00BE7039" w:rsidRDefault="008945FD" w:rsidP="00220F99">
            <w:pPr>
              <w:rPr>
                <w:sz w:val="16"/>
                <w:szCs w:val="16"/>
              </w:rPr>
            </w:pPr>
            <w:r w:rsidRPr="00BE7039">
              <w:rPr>
                <w:sz w:val="16"/>
                <w:szCs w:val="16"/>
              </w:rPr>
              <w:t>Professionally Competent</w:t>
            </w:r>
          </w:p>
        </w:tc>
        <w:tc>
          <w:tcPr>
            <w:tcW w:w="1267" w:type="dxa"/>
            <w:tcBorders>
              <w:left w:val="single" w:sz="18" w:space="0" w:color="auto"/>
            </w:tcBorders>
            <w:shd w:val="clear" w:color="auto" w:fill="FDE9D9" w:themeFill="accent6" w:themeFillTint="33"/>
          </w:tcPr>
          <w:p w:rsidR="008945FD" w:rsidRPr="00EB2E80" w:rsidRDefault="004C27BA" w:rsidP="00D34220">
            <w:pPr>
              <w:rPr>
                <w:sz w:val="16"/>
              </w:rPr>
            </w:pPr>
            <w:r>
              <w:rPr>
                <w:sz w:val="16"/>
              </w:rPr>
              <w:t>On-going but m</w:t>
            </w:r>
            <w:r w:rsidR="004B1E66">
              <w:rPr>
                <w:sz w:val="16"/>
              </w:rPr>
              <w:t>ost recently reviewed in 1/5/16 COB Assessment Meetin</w:t>
            </w:r>
            <w:r w:rsidR="00D34220">
              <w:rPr>
                <w:sz w:val="16"/>
              </w:rPr>
              <w:t>g</w:t>
            </w:r>
          </w:p>
        </w:tc>
        <w:tc>
          <w:tcPr>
            <w:tcW w:w="1277" w:type="dxa"/>
            <w:tcBorders>
              <w:right w:val="single" w:sz="4" w:space="0" w:color="auto"/>
            </w:tcBorders>
            <w:shd w:val="clear" w:color="auto" w:fill="FDE9D9" w:themeFill="accent6" w:themeFillTint="33"/>
          </w:tcPr>
          <w:p w:rsidR="00D726A3" w:rsidRPr="004B1E66" w:rsidRDefault="004B1E66" w:rsidP="00D34220">
            <w:pPr>
              <w:rPr>
                <w:sz w:val="16"/>
              </w:rPr>
            </w:pPr>
            <w:r>
              <w:rPr>
                <w:sz w:val="16"/>
              </w:rPr>
              <w:t>1) Low scores for undergraduate students due to low motivation and low retention of material</w:t>
            </w:r>
          </w:p>
        </w:tc>
        <w:tc>
          <w:tcPr>
            <w:tcW w:w="1461" w:type="dxa"/>
            <w:tcBorders>
              <w:left w:val="single" w:sz="4" w:space="0" w:color="auto"/>
            </w:tcBorders>
            <w:shd w:val="clear" w:color="auto" w:fill="FDE9D9" w:themeFill="accent6" w:themeFillTint="33"/>
          </w:tcPr>
          <w:p w:rsidR="00D726A3" w:rsidRPr="00EB2E80" w:rsidRDefault="004B1E66" w:rsidP="00D34220">
            <w:pPr>
              <w:rPr>
                <w:sz w:val="16"/>
                <w:szCs w:val="20"/>
              </w:rPr>
            </w:pPr>
            <w:r>
              <w:rPr>
                <w:sz w:val="16"/>
                <w:szCs w:val="20"/>
              </w:rPr>
              <w:t>1) Include exam in course and apply it toward course grade; offer review sessions</w:t>
            </w:r>
          </w:p>
        </w:tc>
        <w:tc>
          <w:tcPr>
            <w:tcW w:w="1478" w:type="dxa"/>
            <w:shd w:val="clear" w:color="auto" w:fill="FDE9D9" w:themeFill="accent6" w:themeFillTint="33"/>
          </w:tcPr>
          <w:p w:rsidR="008945FD" w:rsidRDefault="004B1E66" w:rsidP="00814B3B">
            <w:pPr>
              <w:rPr>
                <w:sz w:val="16"/>
                <w:szCs w:val="20"/>
              </w:rPr>
            </w:pPr>
            <w:r>
              <w:rPr>
                <w:sz w:val="16"/>
                <w:szCs w:val="20"/>
              </w:rPr>
              <w:t>1) Fall 2010 and on-going</w:t>
            </w:r>
          </w:p>
          <w:p w:rsidR="00D27542" w:rsidRDefault="00D27542" w:rsidP="00814B3B">
            <w:pPr>
              <w:rPr>
                <w:sz w:val="16"/>
                <w:szCs w:val="20"/>
              </w:rPr>
            </w:pPr>
          </w:p>
          <w:p w:rsidR="00D27542" w:rsidRPr="00EB2E80" w:rsidRDefault="00D27542" w:rsidP="00814B3B">
            <w:pPr>
              <w:rPr>
                <w:sz w:val="16"/>
                <w:szCs w:val="20"/>
              </w:rPr>
            </w:pPr>
          </w:p>
        </w:tc>
      </w:tr>
      <w:tr w:rsidR="00D34220" w:rsidRPr="00EB2E80" w:rsidTr="008945FD">
        <w:trPr>
          <w:trHeight w:val="350"/>
        </w:trPr>
        <w:tc>
          <w:tcPr>
            <w:tcW w:w="1272" w:type="dxa"/>
          </w:tcPr>
          <w:p w:rsidR="00485997" w:rsidRPr="00EB2E80" w:rsidRDefault="00485997" w:rsidP="00814B3B">
            <w:pPr>
              <w:rPr>
                <w:sz w:val="16"/>
              </w:rPr>
            </w:pPr>
            <w:r>
              <w:rPr>
                <w:sz w:val="16"/>
              </w:rPr>
              <w:lastRenderedPageBreak/>
              <w:t>Educational Benchmarking Institute (EBI) Undergraduate Business Exit Assessment</w:t>
            </w:r>
          </w:p>
        </w:tc>
        <w:tc>
          <w:tcPr>
            <w:tcW w:w="1278" w:type="dxa"/>
          </w:tcPr>
          <w:p w:rsidR="00485997" w:rsidRPr="00EB2E80" w:rsidRDefault="004C27BA" w:rsidP="00814B3B">
            <w:pPr>
              <w:rPr>
                <w:sz w:val="16"/>
                <w:szCs w:val="20"/>
              </w:rPr>
            </w:pPr>
            <w:r>
              <w:rPr>
                <w:sz w:val="16"/>
                <w:szCs w:val="20"/>
              </w:rPr>
              <w:t>Comprehensive undergraduate exit assessment  designed to measure the undergraduate student’s complete educational experience</w:t>
            </w:r>
          </w:p>
        </w:tc>
        <w:tc>
          <w:tcPr>
            <w:tcW w:w="1265" w:type="dxa"/>
          </w:tcPr>
          <w:p w:rsidR="00485997" w:rsidRPr="00EB2E80" w:rsidRDefault="00485997" w:rsidP="00814B3B">
            <w:pPr>
              <w:rPr>
                <w:sz w:val="16"/>
                <w:szCs w:val="20"/>
              </w:rPr>
            </w:pPr>
            <w:proofErr w:type="spellStart"/>
            <w:r>
              <w:rPr>
                <w:sz w:val="16"/>
                <w:szCs w:val="20"/>
              </w:rPr>
              <w:t>Skyfactor</w:t>
            </w:r>
            <w:proofErr w:type="spellEnd"/>
            <w:r>
              <w:rPr>
                <w:sz w:val="16"/>
                <w:szCs w:val="20"/>
              </w:rPr>
              <w:t xml:space="preserve"> </w:t>
            </w:r>
            <w:proofErr w:type="spellStart"/>
            <w:r>
              <w:rPr>
                <w:sz w:val="16"/>
                <w:szCs w:val="20"/>
              </w:rPr>
              <w:t>Benchworks</w:t>
            </w:r>
            <w:proofErr w:type="spellEnd"/>
            <w:r>
              <w:rPr>
                <w:sz w:val="16"/>
                <w:szCs w:val="20"/>
              </w:rPr>
              <w:t xml:space="preserve"> Assessment</w:t>
            </w:r>
          </w:p>
        </w:tc>
        <w:tc>
          <w:tcPr>
            <w:tcW w:w="1277" w:type="dxa"/>
          </w:tcPr>
          <w:p w:rsidR="00485997" w:rsidRPr="00EB2E80" w:rsidRDefault="00485997" w:rsidP="00814B3B">
            <w:pPr>
              <w:rPr>
                <w:sz w:val="16"/>
                <w:szCs w:val="20"/>
              </w:rPr>
            </w:pPr>
            <w:r>
              <w:rPr>
                <w:sz w:val="16"/>
                <w:szCs w:val="16"/>
              </w:rPr>
              <w:t>P</w:t>
            </w:r>
            <w:r w:rsidRPr="00BE7039">
              <w:rPr>
                <w:sz w:val="16"/>
                <w:szCs w:val="16"/>
              </w:rPr>
              <w:t>roctored, nationally-normed assessment</w:t>
            </w:r>
          </w:p>
        </w:tc>
        <w:tc>
          <w:tcPr>
            <w:tcW w:w="1273" w:type="dxa"/>
          </w:tcPr>
          <w:p w:rsidR="00485997" w:rsidRPr="00EB2E80" w:rsidRDefault="00485997" w:rsidP="00814B3B">
            <w:pPr>
              <w:rPr>
                <w:sz w:val="16"/>
                <w:szCs w:val="20"/>
              </w:rPr>
            </w:pPr>
            <w:r w:rsidRPr="00BE7039">
              <w:rPr>
                <w:sz w:val="16"/>
                <w:szCs w:val="16"/>
              </w:rPr>
              <w:t>Once per year to gradu</w:t>
            </w:r>
            <w:r>
              <w:rPr>
                <w:sz w:val="16"/>
                <w:szCs w:val="16"/>
              </w:rPr>
              <w:t xml:space="preserve">ating undergraduate seniors  </w:t>
            </w:r>
          </w:p>
        </w:tc>
        <w:tc>
          <w:tcPr>
            <w:tcW w:w="1280" w:type="dxa"/>
          </w:tcPr>
          <w:p w:rsidR="00485997" w:rsidRPr="00EB2E80" w:rsidRDefault="00485997" w:rsidP="00814B3B">
            <w:pPr>
              <w:rPr>
                <w:sz w:val="16"/>
                <w:szCs w:val="20"/>
              </w:rPr>
            </w:pPr>
            <w:r>
              <w:rPr>
                <w:sz w:val="16"/>
                <w:szCs w:val="20"/>
              </w:rPr>
              <w:t>Undergraduate Department Chair</w:t>
            </w:r>
          </w:p>
        </w:tc>
        <w:tc>
          <w:tcPr>
            <w:tcW w:w="1272" w:type="dxa"/>
            <w:tcBorders>
              <w:right w:val="single" w:sz="18" w:space="0" w:color="auto"/>
            </w:tcBorders>
          </w:tcPr>
          <w:p w:rsidR="00485997" w:rsidRPr="00BE7039" w:rsidRDefault="00485997" w:rsidP="00220F99">
            <w:pPr>
              <w:rPr>
                <w:sz w:val="16"/>
                <w:szCs w:val="16"/>
              </w:rPr>
            </w:pPr>
            <w:r w:rsidRPr="00BE7039">
              <w:rPr>
                <w:sz w:val="16"/>
                <w:szCs w:val="16"/>
              </w:rPr>
              <w:t>Professionally Competent</w:t>
            </w:r>
          </w:p>
        </w:tc>
        <w:tc>
          <w:tcPr>
            <w:tcW w:w="1267" w:type="dxa"/>
            <w:tcBorders>
              <w:left w:val="single" w:sz="18" w:space="0" w:color="auto"/>
            </w:tcBorders>
            <w:shd w:val="clear" w:color="auto" w:fill="FDE9D9" w:themeFill="accent6" w:themeFillTint="33"/>
          </w:tcPr>
          <w:p w:rsidR="00485997" w:rsidRPr="00EB2E80" w:rsidRDefault="004C27BA" w:rsidP="00814B3B">
            <w:pPr>
              <w:rPr>
                <w:sz w:val="16"/>
              </w:rPr>
            </w:pPr>
            <w:r>
              <w:rPr>
                <w:sz w:val="16"/>
              </w:rPr>
              <w:t>1/5/16 COB Assessment Meeting</w:t>
            </w:r>
          </w:p>
        </w:tc>
        <w:tc>
          <w:tcPr>
            <w:tcW w:w="1277" w:type="dxa"/>
            <w:tcBorders>
              <w:right w:val="single" w:sz="4" w:space="0" w:color="auto"/>
            </w:tcBorders>
            <w:shd w:val="clear" w:color="auto" w:fill="FDE9D9" w:themeFill="accent6" w:themeFillTint="33"/>
          </w:tcPr>
          <w:p w:rsidR="004C27BA" w:rsidRDefault="004C27BA" w:rsidP="00814B3B">
            <w:pPr>
              <w:rPr>
                <w:sz w:val="16"/>
              </w:rPr>
            </w:pPr>
            <w:r>
              <w:rPr>
                <w:sz w:val="16"/>
              </w:rPr>
              <w:t>1)</w:t>
            </w:r>
            <w:r w:rsidR="00F93A04">
              <w:rPr>
                <w:sz w:val="16"/>
              </w:rPr>
              <w:t xml:space="preserve"> </w:t>
            </w:r>
            <w:r>
              <w:rPr>
                <w:sz w:val="16"/>
              </w:rPr>
              <w:t>Insignificant results for some majors due to low student participation</w:t>
            </w: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F93A04" w:rsidRDefault="00F93A04" w:rsidP="00814B3B">
            <w:pPr>
              <w:rPr>
                <w:sz w:val="16"/>
              </w:rPr>
            </w:pPr>
          </w:p>
          <w:p w:rsidR="00485997" w:rsidRPr="00EB2E80" w:rsidRDefault="004C27BA" w:rsidP="00814B3B">
            <w:pPr>
              <w:rPr>
                <w:sz w:val="16"/>
              </w:rPr>
            </w:pPr>
            <w:r>
              <w:rPr>
                <w:sz w:val="16"/>
              </w:rPr>
              <w:t>2)</w:t>
            </w:r>
            <w:r w:rsidR="00F93A04">
              <w:rPr>
                <w:sz w:val="16"/>
              </w:rPr>
              <w:t xml:space="preserve"> </w:t>
            </w:r>
            <w:r>
              <w:rPr>
                <w:sz w:val="16"/>
              </w:rPr>
              <w:t>Low scores in several areas</w:t>
            </w:r>
          </w:p>
        </w:tc>
        <w:tc>
          <w:tcPr>
            <w:tcW w:w="1461" w:type="dxa"/>
            <w:tcBorders>
              <w:left w:val="single" w:sz="4" w:space="0" w:color="auto"/>
            </w:tcBorders>
            <w:shd w:val="clear" w:color="auto" w:fill="FDE9D9" w:themeFill="accent6" w:themeFillTint="33"/>
          </w:tcPr>
          <w:p w:rsidR="00485997" w:rsidRDefault="004C27BA" w:rsidP="004C27BA">
            <w:pPr>
              <w:rPr>
                <w:sz w:val="16"/>
                <w:szCs w:val="20"/>
              </w:rPr>
            </w:pPr>
            <w:r>
              <w:rPr>
                <w:sz w:val="16"/>
                <w:szCs w:val="20"/>
              </w:rPr>
              <w:t>1)</w:t>
            </w:r>
            <w:r w:rsidR="00F93A04">
              <w:rPr>
                <w:sz w:val="16"/>
                <w:szCs w:val="20"/>
              </w:rPr>
              <w:t xml:space="preserve"> </w:t>
            </w:r>
            <w:r>
              <w:rPr>
                <w:sz w:val="16"/>
                <w:szCs w:val="20"/>
              </w:rPr>
              <w:t>Since cost prohibits administering the survey multiple times during the year, administer the survey in the fall semester (vs. spring) to capture responses from more students (based on when capstone course is taken)</w:t>
            </w:r>
          </w:p>
          <w:p w:rsidR="00F93A04" w:rsidRDefault="00F93A04" w:rsidP="004C27BA">
            <w:pPr>
              <w:rPr>
                <w:sz w:val="16"/>
                <w:szCs w:val="20"/>
              </w:rPr>
            </w:pPr>
          </w:p>
          <w:p w:rsidR="00F93A04" w:rsidRPr="00EB2E80" w:rsidRDefault="00F93A04" w:rsidP="004C27BA">
            <w:pPr>
              <w:rPr>
                <w:sz w:val="16"/>
                <w:szCs w:val="20"/>
              </w:rPr>
            </w:pPr>
            <w:r>
              <w:rPr>
                <w:sz w:val="16"/>
                <w:szCs w:val="20"/>
              </w:rPr>
              <w:t>2) Continue survey implementation to identify trends vs. anomalies; focus on key outcomes</w:t>
            </w:r>
          </w:p>
        </w:tc>
        <w:tc>
          <w:tcPr>
            <w:tcW w:w="1478" w:type="dxa"/>
            <w:shd w:val="clear" w:color="auto" w:fill="FDE9D9" w:themeFill="accent6" w:themeFillTint="33"/>
          </w:tcPr>
          <w:p w:rsidR="00485997" w:rsidRDefault="00F93A04" w:rsidP="00F93A04">
            <w:pPr>
              <w:rPr>
                <w:sz w:val="16"/>
                <w:szCs w:val="20"/>
              </w:rPr>
            </w:pPr>
            <w:r>
              <w:rPr>
                <w:sz w:val="16"/>
                <w:szCs w:val="20"/>
              </w:rPr>
              <w:t>1) Fall 2016</w:t>
            </w: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Default="00F93A04" w:rsidP="00F93A04">
            <w:pPr>
              <w:rPr>
                <w:sz w:val="16"/>
                <w:szCs w:val="20"/>
              </w:rPr>
            </w:pPr>
          </w:p>
          <w:p w:rsidR="00F93A04" w:rsidRPr="00EB2E80" w:rsidRDefault="00F93A04" w:rsidP="00F93A04">
            <w:pPr>
              <w:rPr>
                <w:sz w:val="16"/>
                <w:szCs w:val="20"/>
              </w:rPr>
            </w:pPr>
            <w:r>
              <w:rPr>
                <w:sz w:val="16"/>
                <w:szCs w:val="20"/>
              </w:rPr>
              <w:t>2) Spring 2016</w:t>
            </w:r>
          </w:p>
        </w:tc>
      </w:tr>
      <w:tr w:rsidR="00D34220" w:rsidRPr="00EB2E80" w:rsidTr="008945FD">
        <w:trPr>
          <w:trHeight w:val="557"/>
        </w:trPr>
        <w:tc>
          <w:tcPr>
            <w:tcW w:w="1272" w:type="dxa"/>
          </w:tcPr>
          <w:p w:rsidR="002A6FB0" w:rsidRPr="00EB2E80" w:rsidRDefault="005200D9" w:rsidP="00814B3B">
            <w:pPr>
              <w:rPr>
                <w:sz w:val="16"/>
              </w:rPr>
            </w:pPr>
            <w:r>
              <w:rPr>
                <w:sz w:val="16"/>
              </w:rPr>
              <w:t>Student Feedback and Market Data</w:t>
            </w:r>
          </w:p>
        </w:tc>
        <w:tc>
          <w:tcPr>
            <w:tcW w:w="1278" w:type="dxa"/>
          </w:tcPr>
          <w:p w:rsidR="002A6FB0" w:rsidRPr="00EB2E80" w:rsidRDefault="005200D9" w:rsidP="00814B3B">
            <w:pPr>
              <w:rPr>
                <w:sz w:val="16"/>
                <w:szCs w:val="20"/>
              </w:rPr>
            </w:pPr>
            <w:r>
              <w:rPr>
                <w:sz w:val="16"/>
                <w:szCs w:val="20"/>
              </w:rPr>
              <w:t xml:space="preserve">COB Faculty modify courses based on student feedback, </w:t>
            </w:r>
            <w:proofErr w:type="spellStart"/>
            <w:r>
              <w:rPr>
                <w:sz w:val="16"/>
                <w:szCs w:val="20"/>
              </w:rPr>
              <w:t>students</w:t>
            </w:r>
            <w:proofErr w:type="spellEnd"/>
            <w:r>
              <w:rPr>
                <w:sz w:val="16"/>
                <w:szCs w:val="20"/>
              </w:rPr>
              <w:t xml:space="preserve"> needs, and market needs</w:t>
            </w:r>
          </w:p>
        </w:tc>
        <w:tc>
          <w:tcPr>
            <w:tcW w:w="1265" w:type="dxa"/>
          </w:tcPr>
          <w:p w:rsidR="002A6FB0" w:rsidRPr="00EB2E80" w:rsidRDefault="005200D9" w:rsidP="005200D9">
            <w:pPr>
              <w:rPr>
                <w:sz w:val="16"/>
                <w:szCs w:val="20"/>
              </w:rPr>
            </w:pPr>
            <w:r>
              <w:rPr>
                <w:sz w:val="16"/>
                <w:szCs w:val="20"/>
              </w:rPr>
              <w:t>Faculty research markets and student needs</w:t>
            </w:r>
          </w:p>
        </w:tc>
        <w:tc>
          <w:tcPr>
            <w:tcW w:w="1277" w:type="dxa"/>
          </w:tcPr>
          <w:p w:rsidR="002A6FB0" w:rsidRPr="00EB2E80" w:rsidRDefault="005200D9" w:rsidP="00814B3B">
            <w:pPr>
              <w:rPr>
                <w:sz w:val="16"/>
                <w:szCs w:val="20"/>
              </w:rPr>
            </w:pPr>
            <w:r>
              <w:rPr>
                <w:sz w:val="16"/>
                <w:szCs w:val="20"/>
              </w:rPr>
              <w:t xml:space="preserve">Student surveys, personal research </w:t>
            </w:r>
          </w:p>
        </w:tc>
        <w:tc>
          <w:tcPr>
            <w:tcW w:w="1273" w:type="dxa"/>
          </w:tcPr>
          <w:p w:rsidR="002A6FB0" w:rsidRPr="00EB2E80" w:rsidRDefault="005200D9" w:rsidP="00814B3B">
            <w:pPr>
              <w:rPr>
                <w:sz w:val="16"/>
                <w:szCs w:val="20"/>
              </w:rPr>
            </w:pPr>
            <w:r>
              <w:rPr>
                <w:sz w:val="16"/>
                <w:szCs w:val="20"/>
              </w:rPr>
              <w:t>On-going</w:t>
            </w:r>
          </w:p>
        </w:tc>
        <w:tc>
          <w:tcPr>
            <w:tcW w:w="1280" w:type="dxa"/>
          </w:tcPr>
          <w:p w:rsidR="002A6FB0" w:rsidRPr="00EB2E80" w:rsidRDefault="005200D9" w:rsidP="00814B3B">
            <w:pPr>
              <w:rPr>
                <w:sz w:val="16"/>
                <w:szCs w:val="20"/>
              </w:rPr>
            </w:pPr>
            <w:r>
              <w:rPr>
                <w:sz w:val="16"/>
                <w:szCs w:val="20"/>
              </w:rPr>
              <w:t>COB Faculty</w:t>
            </w:r>
          </w:p>
        </w:tc>
        <w:tc>
          <w:tcPr>
            <w:tcW w:w="1272" w:type="dxa"/>
            <w:tcBorders>
              <w:right w:val="single" w:sz="18" w:space="0" w:color="auto"/>
            </w:tcBorders>
          </w:tcPr>
          <w:p w:rsidR="002A6FB0" w:rsidRPr="00EB2E80" w:rsidRDefault="005200D9" w:rsidP="00814B3B">
            <w:pPr>
              <w:rPr>
                <w:sz w:val="16"/>
              </w:rPr>
            </w:pPr>
            <w:r>
              <w:rPr>
                <w:sz w:val="16"/>
              </w:rPr>
              <w:t>Professionally Competent</w:t>
            </w:r>
          </w:p>
        </w:tc>
        <w:tc>
          <w:tcPr>
            <w:tcW w:w="1267" w:type="dxa"/>
            <w:tcBorders>
              <w:left w:val="single" w:sz="18" w:space="0" w:color="auto"/>
            </w:tcBorders>
            <w:shd w:val="clear" w:color="auto" w:fill="FDE9D9" w:themeFill="accent6" w:themeFillTint="33"/>
          </w:tcPr>
          <w:p w:rsidR="002A6FB0" w:rsidRPr="00EB2E80" w:rsidRDefault="005200D9" w:rsidP="00814B3B">
            <w:pPr>
              <w:rPr>
                <w:sz w:val="16"/>
              </w:rPr>
            </w:pPr>
            <w:r>
              <w:rPr>
                <w:sz w:val="16"/>
              </w:rPr>
              <w:t>8/5/15 COB Faculty Meeting</w:t>
            </w:r>
          </w:p>
        </w:tc>
        <w:tc>
          <w:tcPr>
            <w:tcW w:w="1277" w:type="dxa"/>
            <w:tcBorders>
              <w:right w:val="single" w:sz="4" w:space="0" w:color="auto"/>
            </w:tcBorders>
            <w:shd w:val="clear" w:color="auto" w:fill="FDE9D9" w:themeFill="accent6" w:themeFillTint="33"/>
          </w:tcPr>
          <w:p w:rsidR="002A6FB0" w:rsidRPr="00EB2E80" w:rsidRDefault="005200D9" w:rsidP="00814B3B">
            <w:pPr>
              <w:rPr>
                <w:sz w:val="16"/>
              </w:rPr>
            </w:pPr>
            <w:r>
              <w:rPr>
                <w:sz w:val="16"/>
              </w:rPr>
              <w:t xml:space="preserve">Currency of content, currency of textbook, student motivation, student comprehension </w:t>
            </w:r>
          </w:p>
        </w:tc>
        <w:tc>
          <w:tcPr>
            <w:tcW w:w="1461" w:type="dxa"/>
            <w:tcBorders>
              <w:left w:val="single" w:sz="4" w:space="0" w:color="auto"/>
            </w:tcBorders>
            <w:shd w:val="clear" w:color="auto" w:fill="FDE9D9" w:themeFill="accent6" w:themeFillTint="33"/>
          </w:tcPr>
          <w:p w:rsidR="002A6FB0" w:rsidRPr="00EB2E80" w:rsidRDefault="005200D9" w:rsidP="00814B3B">
            <w:pPr>
              <w:rPr>
                <w:sz w:val="16"/>
                <w:szCs w:val="20"/>
              </w:rPr>
            </w:pPr>
            <w:r>
              <w:rPr>
                <w:sz w:val="16"/>
                <w:szCs w:val="20"/>
              </w:rPr>
              <w:t xml:space="preserve">Changes to course content, new textbooks, </w:t>
            </w:r>
            <w:r w:rsidR="007E1456">
              <w:rPr>
                <w:sz w:val="16"/>
                <w:szCs w:val="20"/>
              </w:rPr>
              <w:t>improved relevancy of examples, improved course projects</w:t>
            </w:r>
          </w:p>
        </w:tc>
        <w:tc>
          <w:tcPr>
            <w:tcW w:w="1478" w:type="dxa"/>
            <w:shd w:val="clear" w:color="auto" w:fill="FDE9D9" w:themeFill="accent6" w:themeFillTint="33"/>
          </w:tcPr>
          <w:p w:rsidR="002A6FB0" w:rsidRPr="00EB2E80" w:rsidRDefault="007E1456" w:rsidP="00814B3B">
            <w:pPr>
              <w:rPr>
                <w:sz w:val="16"/>
                <w:szCs w:val="20"/>
              </w:rPr>
            </w:pPr>
            <w:r>
              <w:rPr>
                <w:sz w:val="16"/>
                <w:szCs w:val="20"/>
              </w:rPr>
              <w:t>Fall 2015</w:t>
            </w:r>
          </w:p>
        </w:tc>
      </w:tr>
    </w:tbl>
    <w:p w:rsidR="002A6FB0" w:rsidRDefault="002A6FB0" w:rsidP="002A6FB0">
      <w:pPr>
        <w:tabs>
          <w:tab w:val="left" w:pos="2780"/>
          <w:tab w:val="center" w:pos="7488"/>
        </w:tabs>
        <w:rPr>
          <w:b/>
          <w:bCs/>
          <w:sz w:val="28"/>
        </w:rPr>
      </w:pPr>
    </w:p>
    <w:p w:rsidR="002A6FB0" w:rsidRPr="002A6FB0" w:rsidRDefault="002A6FB0" w:rsidP="002A6FB0">
      <w:pPr>
        <w:tabs>
          <w:tab w:val="left" w:pos="2780"/>
          <w:tab w:val="center" w:pos="7488"/>
        </w:tabs>
        <w:rPr>
          <w:b/>
          <w:bCs/>
          <w:sz w:val="28"/>
        </w:rPr>
      </w:pPr>
    </w:p>
    <w:p w:rsidR="002A6FB0" w:rsidRPr="00EB2E80" w:rsidRDefault="002A6FB0" w:rsidP="002A6FB0"/>
    <w:p w:rsidR="002A6FB0" w:rsidRPr="000B252E" w:rsidRDefault="002A6FB0" w:rsidP="002A6FB0">
      <w:pPr>
        <w:pBdr>
          <w:top w:val="single" w:sz="4" w:space="0" w:color="auto"/>
          <w:left w:val="single" w:sz="4" w:space="4" w:color="auto"/>
          <w:bottom w:val="single" w:sz="4" w:space="1" w:color="auto"/>
          <w:right w:val="single" w:sz="4" w:space="4" w:color="auto"/>
        </w:pBdr>
        <w:spacing w:line="276" w:lineRule="auto"/>
        <w:jc w:val="center"/>
        <w:rPr>
          <w:b/>
          <w:sz w:val="22"/>
          <w:szCs w:val="22"/>
        </w:rPr>
      </w:pPr>
      <w:r>
        <w:rPr>
          <w:b/>
          <w:sz w:val="22"/>
          <w:szCs w:val="22"/>
        </w:rPr>
        <w:t>Department Name</w:t>
      </w:r>
      <w:r w:rsidRPr="000B252E">
        <w:rPr>
          <w:b/>
          <w:sz w:val="22"/>
          <w:szCs w:val="22"/>
        </w:rPr>
        <w:t>– Mission Statement</w:t>
      </w:r>
    </w:p>
    <w:p w:rsidR="00BA12FF" w:rsidRPr="00BA12FF" w:rsidRDefault="002A6FB0" w:rsidP="00BA12FF">
      <w:pPr>
        <w:pBdr>
          <w:top w:val="single" w:sz="4" w:space="0" w:color="auto"/>
          <w:left w:val="single" w:sz="4" w:space="4" w:color="auto"/>
          <w:bottom w:val="single" w:sz="4" w:space="1" w:color="auto"/>
          <w:right w:val="single" w:sz="4" w:space="4" w:color="auto"/>
        </w:pBdr>
        <w:jc w:val="both"/>
        <w:rPr>
          <w:sz w:val="22"/>
          <w:szCs w:val="22"/>
        </w:rPr>
      </w:pPr>
      <w:r w:rsidRPr="000B252E">
        <w:rPr>
          <w:sz w:val="22"/>
          <w:szCs w:val="22"/>
        </w:rPr>
        <w:t xml:space="preserve">Mission: </w:t>
      </w:r>
      <w:r w:rsidR="00BA12FF" w:rsidRPr="00BA12FF">
        <w:rPr>
          <w:sz w:val="22"/>
          <w:szCs w:val="22"/>
        </w:rPr>
        <w:t xml:space="preserve">The College of Business at Oral Roberts University is firmly grounded in a concept of abundant life and the belief that all people are capable of finding prosperous living with God as their Source.  The comprehensive integrated curriculum is designed to provide a business education with a commitment to the Christian way of life. The College of Business seeks (1) to graduate well-qualified professionals who provide expert leadership as corporate executives, entrepreneurs, government officials, counselors, nonprofit administrators, and teachers; and (2) to provide an education that enables business graduates to manage people and resources within the context of Christian love and Biblical principles of concern for the welfare of the whole person. To this end, students are challenged to develop a perspective of wholeness in their personal lives so that they might help their clients or student develop wholeness as a way of life. </w:t>
      </w:r>
    </w:p>
    <w:p w:rsidR="002A6FB0" w:rsidRPr="000B252E" w:rsidRDefault="002A6FB0" w:rsidP="002A6FB0">
      <w:pPr>
        <w:pBdr>
          <w:top w:val="single" w:sz="4" w:space="0" w:color="auto"/>
          <w:left w:val="single" w:sz="4" w:space="4" w:color="auto"/>
          <w:bottom w:val="single" w:sz="4" w:space="1" w:color="auto"/>
          <w:right w:val="single" w:sz="4" w:space="4" w:color="auto"/>
        </w:pBdr>
        <w:jc w:val="both"/>
        <w:rPr>
          <w:b/>
          <w:sz w:val="22"/>
          <w:szCs w:val="22"/>
        </w:rPr>
      </w:pPr>
    </w:p>
    <w:p w:rsidR="002A6FB0" w:rsidRPr="00BA63F5" w:rsidRDefault="002A6FB0" w:rsidP="002A6FB0">
      <w:pPr>
        <w:pBdr>
          <w:top w:val="single" w:sz="4" w:space="0" w:color="auto"/>
          <w:left w:val="single" w:sz="4" w:space="4" w:color="auto"/>
          <w:bottom w:val="single" w:sz="4" w:space="1" w:color="auto"/>
          <w:right w:val="single" w:sz="4" w:space="4" w:color="auto"/>
        </w:pBdr>
        <w:ind w:firstLine="720"/>
      </w:pPr>
    </w:p>
    <w:p w:rsidR="002A6FB0" w:rsidRDefault="002A6FB0" w:rsidP="002A6FB0"/>
    <w:p w:rsidR="002A6FB0" w:rsidRDefault="002A6FB0" w:rsidP="002A6FB0">
      <w:pPr>
        <w:spacing w:after="200"/>
      </w:pPr>
    </w:p>
    <w:p w:rsidR="00A76147" w:rsidRDefault="00A76147"/>
    <w:sectPr w:rsidR="00A76147" w:rsidSect="0095299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D6DB9"/>
    <w:multiLevelType w:val="hybridMultilevel"/>
    <w:tmpl w:val="134CC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10243"/>
    <w:multiLevelType w:val="hybridMultilevel"/>
    <w:tmpl w:val="BAE0B6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BB696D"/>
    <w:multiLevelType w:val="hybridMultilevel"/>
    <w:tmpl w:val="FE780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B0"/>
    <w:rsid w:val="00227B87"/>
    <w:rsid w:val="00295D81"/>
    <w:rsid w:val="002A6FB0"/>
    <w:rsid w:val="002B054C"/>
    <w:rsid w:val="002C362F"/>
    <w:rsid w:val="00306745"/>
    <w:rsid w:val="003F783A"/>
    <w:rsid w:val="00485997"/>
    <w:rsid w:val="004B1E66"/>
    <w:rsid w:val="004C27BA"/>
    <w:rsid w:val="004F61F0"/>
    <w:rsid w:val="00512CC0"/>
    <w:rsid w:val="005200D9"/>
    <w:rsid w:val="0058255A"/>
    <w:rsid w:val="006B0372"/>
    <w:rsid w:val="007E1456"/>
    <w:rsid w:val="00845F0F"/>
    <w:rsid w:val="008945FD"/>
    <w:rsid w:val="008A7713"/>
    <w:rsid w:val="009030D6"/>
    <w:rsid w:val="00992666"/>
    <w:rsid w:val="00A76147"/>
    <w:rsid w:val="00A82417"/>
    <w:rsid w:val="00A97847"/>
    <w:rsid w:val="00AB67F1"/>
    <w:rsid w:val="00B40BD8"/>
    <w:rsid w:val="00BA12FF"/>
    <w:rsid w:val="00C57D55"/>
    <w:rsid w:val="00D27542"/>
    <w:rsid w:val="00D34220"/>
    <w:rsid w:val="00D726A3"/>
    <w:rsid w:val="00ED0AFE"/>
    <w:rsid w:val="00F93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B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8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Holzmann</dc:creator>
  <cp:lastModifiedBy>Julie Huntley</cp:lastModifiedBy>
  <cp:revision>6</cp:revision>
  <dcterms:created xsi:type="dcterms:W3CDTF">2016-01-26T14:29:00Z</dcterms:created>
  <dcterms:modified xsi:type="dcterms:W3CDTF">2016-02-03T22:24:00Z</dcterms:modified>
</cp:coreProperties>
</file>